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962" w:rsidRPr="00F47ECA" w:rsidRDefault="00045962" w:rsidP="00F47ECA">
      <w:pPr>
        <w:autoSpaceDE w:val="0"/>
        <w:autoSpaceDN w:val="0"/>
        <w:adjustRightInd w:val="0"/>
        <w:spacing w:line="460" w:lineRule="exact"/>
        <w:ind w:left="-181" w:right="-142"/>
        <w:jc w:val="center"/>
        <w:rPr>
          <w:rFonts w:ascii="標楷體" w:eastAsia="標楷體" w:hAnsi="Calibri" w:cs="標楷體"/>
          <w:b/>
          <w:color w:val="000000"/>
          <w:kern w:val="0"/>
          <w:sz w:val="36"/>
          <w:szCs w:val="36"/>
        </w:rPr>
      </w:pPr>
      <w:r>
        <w:rPr>
          <w:rFonts w:ascii="標楷體" w:eastAsia="標楷體" w:hAnsi="Calibri" w:cs="標楷體" w:hint="eastAsia"/>
          <w:b/>
          <w:color w:val="000000"/>
          <w:kern w:val="0"/>
          <w:sz w:val="36"/>
          <w:szCs w:val="36"/>
        </w:rPr>
        <w:t>嘉義縣</w:t>
      </w:r>
      <w:r w:rsidRPr="00F47ECA">
        <w:rPr>
          <w:rFonts w:ascii="標楷體" w:eastAsia="標楷體" w:hAnsi="Calibri" w:cs="標楷體" w:hint="eastAsia"/>
          <w:b/>
          <w:color w:val="000000"/>
          <w:kern w:val="0"/>
          <w:sz w:val="36"/>
          <w:szCs w:val="36"/>
        </w:rPr>
        <w:t>政府內部控制推動及督導小組設置要點</w:t>
      </w:r>
    </w:p>
    <w:p w:rsidR="00045962" w:rsidRPr="00F47ECA" w:rsidRDefault="00045962" w:rsidP="00F47ECA">
      <w:pPr>
        <w:numPr>
          <w:ilvl w:val="0"/>
          <w:numId w:val="1"/>
        </w:numPr>
        <w:autoSpaceDE w:val="0"/>
        <w:autoSpaceDN w:val="0"/>
        <w:adjustRightInd w:val="0"/>
        <w:spacing w:line="460" w:lineRule="exact"/>
        <w:ind w:left="567" w:hanging="567"/>
        <w:jc w:val="both"/>
        <w:rPr>
          <w:rFonts w:ascii="標楷體" w:eastAsia="標楷體" w:hAnsi="Calibri" w:cs="標楷體"/>
          <w:color w:val="000000"/>
          <w:kern w:val="0"/>
          <w:sz w:val="28"/>
          <w:szCs w:val="28"/>
        </w:rPr>
      </w:pPr>
      <w:bookmarkStart w:id="0" w:name="_GoBack"/>
      <w:bookmarkEnd w:id="0"/>
      <w:r w:rsidRPr="00E90143">
        <w:rPr>
          <w:rFonts w:ascii="標楷體" w:eastAsia="標楷體" w:hAnsi="Calibri" w:cs="標楷體" w:hint="eastAsia"/>
          <w:color w:val="000000"/>
          <w:kern w:val="0"/>
          <w:sz w:val="28"/>
          <w:szCs w:val="28"/>
        </w:rPr>
        <w:t>嘉義縣</w:t>
      </w:r>
      <w:r w:rsidRPr="00F47ECA">
        <w:rPr>
          <w:rFonts w:ascii="標楷體" w:eastAsia="標楷體" w:hAnsi="Calibri" w:cs="標楷體" w:hint="eastAsia"/>
          <w:color w:val="000000"/>
          <w:kern w:val="0"/>
          <w:sz w:val="28"/>
          <w:szCs w:val="28"/>
        </w:rPr>
        <w:t>政府</w:t>
      </w:r>
      <w:r w:rsidRPr="00F47ECA">
        <w:rPr>
          <w:rFonts w:ascii="標楷體" w:eastAsia="標楷體" w:hAnsi="Calibri" w:cs="標楷體"/>
          <w:color w:val="000000"/>
          <w:kern w:val="0"/>
          <w:sz w:val="28"/>
          <w:szCs w:val="28"/>
        </w:rPr>
        <w:t>(</w:t>
      </w:r>
      <w:r w:rsidRPr="00F47ECA">
        <w:rPr>
          <w:rFonts w:ascii="標楷體" w:eastAsia="標楷體" w:hAnsi="Calibri" w:cs="標楷體" w:hint="eastAsia"/>
          <w:color w:val="000000"/>
          <w:kern w:val="0"/>
          <w:sz w:val="28"/>
          <w:szCs w:val="28"/>
        </w:rPr>
        <w:t>以下簡稱本府</w:t>
      </w:r>
      <w:r w:rsidRPr="00F47ECA">
        <w:rPr>
          <w:rFonts w:ascii="標楷體" w:eastAsia="標楷體" w:hAnsi="Calibri" w:cs="標楷體"/>
          <w:color w:val="000000"/>
          <w:kern w:val="0"/>
          <w:sz w:val="28"/>
          <w:szCs w:val="28"/>
        </w:rPr>
        <w:t>)</w:t>
      </w:r>
      <w:r w:rsidRPr="00F47ECA">
        <w:rPr>
          <w:rFonts w:ascii="標楷體" w:eastAsia="標楷體" w:hAnsi="Calibri" w:cs="標楷體" w:hint="eastAsia"/>
          <w:color w:val="000000"/>
          <w:kern w:val="0"/>
          <w:sz w:val="28"/>
          <w:szCs w:val="28"/>
        </w:rPr>
        <w:t>為強化本府及所屬各機關</w:t>
      </w:r>
      <w:r w:rsidRPr="00F47ECA">
        <w:rPr>
          <w:rFonts w:ascii="標楷體" w:eastAsia="標楷體" w:hAnsi="Calibri" w:cs="標楷體"/>
          <w:color w:val="000000"/>
          <w:kern w:val="0"/>
          <w:sz w:val="28"/>
          <w:szCs w:val="28"/>
        </w:rPr>
        <w:t>(</w:t>
      </w:r>
      <w:r w:rsidRPr="00F47ECA">
        <w:rPr>
          <w:rFonts w:ascii="標楷體" w:eastAsia="標楷體" w:hAnsi="Calibri" w:cs="標楷體" w:hint="eastAsia"/>
          <w:color w:val="000000"/>
          <w:kern w:val="0"/>
          <w:sz w:val="28"/>
          <w:szCs w:val="28"/>
        </w:rPr>
        <w:t>構</w:t>
      </w:r>
      <w:r w:rsidRPr="00F47ECA">
        <w:rPr>
          <w:rFonts w:ascii="標楷體" w:eastAsia="標楷體" w:hAnsi="Calibri" w:cs="標楷體"/>
          <w:color w:val="000000"/>
          <w:kern w:val="0"/>
          <w:sz w:val="28"/>
          <w:szCs w:val="28"/>
        </w:rPr>
        <w:t>)</w:t>
      </w:r>
      <w:r w:rsidRPr="00F47ECA">
        <w:rPr>
          <w:rFonts w:ascii="標楷體" w:eastAsia="標楷體" w:hAnsi="Calibri" w:cs="標楷體" w:hint="eastAsia"/>
          <w:color w:val="000000"/>
          <w:kern w:val="0"/>
          <w:sz w:val="28"/>
          <w:szCs w:val="28"/>
        </w:rPr>
        <w:t>、學校內部控制，提升政府整體施政效能與達到興利及防弊功能，特設</w:t>
      </w:r>
      <w:r>
        <w:rPr>
          <w:rFonts w:ascii="標楷體" w:eastAsia="標楷體" w:hAnsi="Calibri" w:cs="標楷體" w:hint="eastAsia"/>
          <w:color w:val="000000"/>
          <w:kern w:val="0"/>
          <w:sz w:val="28"/>
          <w:szCs w:val="28"/>
        </w:rPr>
        <w:t>嘉義縣</w:t>
      </w:r>
      <w:r w:rsidRPr="00F47ECA">
        <w:rPr>
          <w:rFonts w:ascii="標楷體" w:eastAsia="標楷體" w:hAnsi="Calibri" w:cs="標楷體" w:hint="eastAsia"/>
          <w:color w:val="000000"/>
          <w:kern w:val="0"/>
          <w:sz w:val="28"/>
          <w:szCs w:val="28"/>
        </w:rPr>
        <w:t>政府內部控制推動及督導小組（以下簡稱本小組），並訂定本要點。</w:t>
      </w:r>
    </w:p>
    <w:p w:rsidR="00045962" w:rsidRPr="00F47ECA" w:rsidRDefault="00045962" w:rsidP="00F47ECA">
      <w:pPr>
        <w:numPr>
          <w:ilvl w:val="0"/>
          <w:numId w:val="1"/>
        </w:numPr>
        <w:autoSpaceDE w:val="0"/>
        <w:autoSpaceDN w:val="0"/>
        <w:adjustRightInd w:val="0"/>
        <w:spacing w:line="460" w:lineRule="exact"/>
        <w:ind w:left="567" w:hanging="567"/>
        <w:jc w:val="both"/>
        <w:rPr>
          <w:rFonts w:ascii="標楷體" w:eastAsia="標楷體" w:hAnsi="Calibri" w:cs="標楷體"/>
          <w:color w:val="000000"/>
          <w:kern w:val="0"/>
          <w:sz w:val="28"/>
          <w:szCs w:val="28"/>
        </w:rPr>
      </w:pPr>
      <w:r w:rsidRPr="00F47ECA">
        <w:rPr>
          <w:rFonts w:ascii="標楷體" w:eastAsia="標楷體" w:hAnsi="Calibri" w:cs="標楷體" w:hint="eastAsia"/>
          <w:color w:val="000000"/>
          <w:kern w:val="0"/>
          <w:sz w:val="28"/>
          <w:szCs w:val="28"/>
        </w:rPr>
        <w:t>本小組任務如下：</w:t>
      </w:r>
      <w:r w:rsidRPr="00F47ECA">
        <w:rPr>
          <w:rFonts w:ascii="標楷體" w:eastAsia="標楷體" w:hAnsi="Calibri" w:cs="標楷體"/>
          <w:color w:val="000000"/>
          <w:kern w:val="0"/>
          <w:sz w:val="28"/>
          <w:szCs w:val="28"/>
        </w:rPr>
        <w:t xml:space="preserve"> </w:t>
      </w:r>
    </w:p>
    <w:p w:rsidR="00045962" w:rsidRPr="00212C60" w:rsidRDefault="00045962" w:rsidP="00C36205">
      <w:pPr>
        <w:numPr>
          <w:ilvl w:val="0"/>
          <w:numId w:val="2"/>
        </w:numPr>
        <w:autoSpaceDE w:val="0"/>
        <w:autoSpaceDN w:val="0"/>
        <w:adjustRightInd w:val="0"/>
        <w:spacing w:line="460" w:lineRule="exact"/>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辦理內部控制及內部稽核作業宣導</w:t>
      </w:r>
      <w:r w:rsidRPr="00212C60">
        <w:rPr>
          <w:rFonts w:ascii="標楷體" w:eastAsia="標楷體" w:hAnsi="標楷體" w:cs="標楷體" w:hint="eastAsia"/>
          <w:color w:val="000000"/>
          <w:kern w:val="0"/>
          <w:sz w:val="28"/>
          <w:szCs w:val="28"/>
        </w:rPr>
        <w:t>。</w:t>
      </w:r>
    </w:p>
    <w:p w:rsidR="00045962" w:rsidRPr="00212C60" w:rsidRDefault="00045962" w:rsidP="00C36205">
      <w:pPr>
        <w:numPr>
          <w:ilvl w:val="0"/>
          <w:numId w:val="2"/>
        </w:numPr>
        <w:autoSpaceDE w:val="0"/>
        <w:autoSpaceDN w:val="0"/>
        <w:adjustRightInd w:val="0"/>
        <w:spacing w:line="460" w:lineRule="exact"/>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督導本府各處及本府所屬各一級機關落實執行內部控制及內部稽核工作</w:t>
      </w:r>
      <w:r w:rsidRPr="00212C60">
        <w:rPr>
          <w:rFonts w:ascii="標楷體" w:eastAsia="標楷體" w:hAnsi="標楷體" w:cs="標楷體" w:hint="eastAsia"/>
          <w:color w:val="000000"/>
          <w:kern w:val="0"/>
          <w:sz w:val="28"/>
          <w:szCs w:val="28"/>
        </w:rPr>
        <w:t>。</w:t>
      </w:r>
    </w:p>
    <w:p w:rsidR="00045962" w:rsidRDefault="00045962" w:rsidP="00C36205">
      <w:pPr>
        <w:numPr>
          <w:ilvl w:val="0"/>
          <w:numId w:val="2"/>
        </w:numPr>
        <w:autoSpaceDE w:val="0"/>
        <w:autoSpaceDN w:val="0"/>
        <w:adjustRightInd w:val="0"/>
        <w:spacing w:line="460" w:lineRule="exact"/>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諮詢審議本府各處及本府所屬各一級機關提報內部控制及內部稽核作業落實執行情形</w:t>
      </w:r>
      <w:r w:rsidRPr="00212C60">
        <w:rPr>
          <w:rFonts w:ascii="標楷體" w:eastAsia="標楷體" w:hAnsi="標楷體" w:cs="標楷體" w:hint="eastAsia"/>
          <w:color w:val="000000"/>
          <w:kern w:val="0"/>
          <w:sz w:val="28"/>
          <w:szCs w:val="28"/>
        </w:rPr>
        <w:t>。</w:t>
      </w:r>
    </w:p>
    <w:p w:rsidR="00045962" w:rsidRPr="00212C60" w:rsidRDefault="00045962" w:rsidP="00C36205">
      <w:pPr>
        <w:numPr>
          <w:ilvl w:val="0"/>
          <w:numId w:val="2"/>
        </w:numPr>
        <w:autoSpaceDE w:val="0"/>
        <w:autoSpaceDN w:val="0"/>
        <w:adjustRightInd w:val="0"/>
        <w:spacing w:line="460" w:lineRule="exact"/>
        <w:jc w:val="both"/>
        <w:rPr>
          <w:rFonts w:ascii="標楷體" w:eastAsia="標楷體" w:hAnsi="標楷體"/>
          <w:kern w:val="0"/>
          <w:sz w:val="28"/>
          <w:szCs w:val="28"/>
        </w:rPr>
      </w:pPr>
      <w:r>
        <w:rPr>
          <w:rFonts w:ascii="標楷體" w:eastAsia="標楷體" w:hAnsi="標楷體" w:cs="標楷體" w:hint="eastAsia"/>
          <w:color w:val="000000"/>
          <w:kern w:val="0"/>
          <w:sz w:val="28"/>
          <w:szCs w:val="28"/>
        </w:rPr>
        <w:t>諮詢審議本府各處及本府所屬各一級機關提報</w:t>
      </w:r>
      <w:r w:rsidRPr="00212C60">
        <w:rPr>
          <w:rFonts w:ascii="標楷體" w:eastAsia="標楷體" w:hAnsi="標楷體" w:hint="eastAsia"/>
          <w:kern w:val="0"/>
          <w:sz w:val="28"/>
          <w:szCs w:val="28"/>
        </w:rPr>
        <w:t>監察院</w:t>
      </w:r>
      <w:r>
        <w:rPr>
          <w:rFonts w:ascii="標楷體" w:eastAsia="標楷體" w:hAnsi="標楷體" w:hint="eastAsia"/>
          <w:kern w:val="0"/>
          <w:sz w:val="28"/>
          <w:szCs w:val="28"/>
        </w:rPr>
        <w:t>彈劾、糾正</w:t>
      </w:r>
      <w:r>
        <w:rPr>
          <w:rFonts w:ascii="標楷體" w:eastAsia="標楷體" w:hAnsi="標楷體"/>
          <w:kern w:val="0"/>
          <w:sz w:val="28"/>
          <w:szCs w:val="28"/>
        </w:rPr>
        <w:t>(</w:t>
      </w:r>
      <w:r>
        <w:rPr>
          <w:rFonts w:ascii="標楷體" w:eastAsia="標楷體" w:hAnsi="標楷體" w:hint="eastAsia"/>
          <w:kern w:val="0"/>
          <w:sz w:val="28"/>
          <w:szCs w:val="28"/>
        </w:rPr>
        <w:t>舉</w:t>
      </w:r>
      <w:r>
        <w:rPr>
          <w:rFonts w:ascii="標楷體" w:eastAsia="標楷體" w:hAnsi="標楷體"/>
          <w:kern w:val="0"/>
          <w:sz w:val="28"/>
          <w:szCs w:val="28"/>
        </w:rPr>
        <w:t>)</w:t>
      </w:r>
      <w:r>
        <w:rPr>
          <w:rFonts w:ascii="標楷體" w:eastAsia="標楷體" w:hAnsi="標楷體" w:hint="eastAsia"/>
          <w:kern w:val="0"/>
          <w:sz w:val="28"/>
          <w:szCs w:val="28"/>
        </w:rPr>
        <w:t>或提出其他調查意見</w:t>
      </w:r>
      <w:r w:rsidRPr="00212C60">
        <w:rPr>
          <w:rFonts w:ascii="標楷體" w:eastAsia="標楷體" w:hAnsi="標楷體" w:hint="eastAsia"/>
          <w:kern w:val="0"/>
          <w:sz w:val="28"/>
          <w:szCs w:val="28"/>
        </w:rPr>
        <w:t>及審計部</w:t>
      </w:r>
      <w:r>
        <w:rPr>
          <w:rFonts w:ascii="標楷體" w:eastAsia="標楷體" w:hAnsi="標楷體" w:hint="eastAsia"/>
          <w:kern w:val="0"/>
          <w:sz w:val="28"/>
          <w:szCs w:val="28"/>
        </w:rPr>
        <w:t>之審核意見等涉及</w:t>
      </w:r>
      <w:r w:rsidRPr="00212C60">
        <w:rPr>
          <w:rFonts w:ascii="標楷體" w:eastAsia="標楷體" w:hAnsi="標楷體" w:hint="eastAsia"/>
          <w:kern w:val="0"/>
          <w:sz w:val="28"/>
          <w:szCs w:val="28"/>
        </w:rPr>
        <w:t>內部控制缺失事項權責分工。</w:t>
      </w:r>
    </w:p>
    <w:p w:rsidR="00045962" w:rsidRDefault="00045962" w:rsidP="00C36205">
      <w:pPr>
        <w:numPr>
          <w:ilvl w:val="0"/>
          <w:numId w:val="2"/>
        </w:numPr>
        <w:autoSpaceDE w:val="0"/>
        <w:autoSpaceDN w:val="0"/>
        <w:adjustRightInd w:val="0"/>
        <w:spacing w:line="460" w:lineRule="exact"/>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備查</w:t>
      </w:r>
      <w:r w:rsidRPr="00212C60">
        <w:rPr>
          <w:rFonts w:ascii="標楷體" w:eastAsia="標楷體" w:hAnsi="標楷體" w:cs="標楷體" w:hint="eastAsia"/>
          <w:color w:val="000000"/>
          <w:kern w:val="0"/>
          <w:sz w:val="28"/>
          <w:szCs w:val="28"/>
        </w:rPr>
        <w:t>內部控制制度共通性作業範例。</w:t>
      </w:r>
    </w:p>
    <w:p w:rsidR="00045962" w:rsidRPr="00945894" w:rsidRDefault="00045962" w:rsidP="00C36205">
      <w:pPr>
        <w:numPr>
          <w:ilvl w:val="0"/>
          <w:numId w:val="2"/>
        </w:numPr>
        <w:autoSpaceDE w:val="0"/>
        <w:autoSpaceDN w:val="0"/>
        <w:adjustRightInd w:val="0"/>
        <w:spacing w:line="460" w:lineRule="exact"/>
        <w:jc w:val="both"/>
        <w:rPr>
          <w:rFonts w:ascii="標楷體" w:eastAsia="標楷體" w:hAnsi="Calibri" w:cs="標楷體"/>
          <w:color w:val="000000"/>
          <w:kern w:val="0"/>
          <w:sz w:val="28"/>
          <w:szCs w:val="28"/>
        </w:rPr>
      </w:pPr>
      <w:r>
        <w:rPr>
          <w:rFonts w:ascii="標楷體" w:eastAsia="標楷體" w:hAnsi="標楷體" w:hint="eastAsia"/>
          <w:kern w:val="0"/>
          <w:sz w:val="28"/>
          <w:szCs w:val="28"/>
        </w:rPr>
        <w:t>諮詢審議或備查本府各處及本府所屬各一級機關提報檢討現有內部控制作業，所發現之重大缺失及督導改善情形</w:t>
      </w:r>
      <w:r w:rsidRPr="00212C60">
        <w:rPr>
          <w:rFonts w:ascii="標楷體" w:eastAsia="標楷體" w:hAnsi="標楷體" w:hint="eastAsia"/>
          <w:kern w:val="0"/>
          <w:sz w:val="28"/>
          <w:szCs w:val="28"/>
        </w:rPr>
        <w:t>。</w:t>
      </w:r>
    </w:p>
    <w:p w:rsidR="00045962" w:rsidRPr="00C36205" w:rsidRDefault="00045962" w:rsidP="00C36205">
      <w:pPr>
        <w:numPr>
          <w:ilvl w:val="0"/>
          <w:numId w:val="2"/>
        </w:numPr>
        <w:autoSpaceDE w:val="0"/>
        <w:autoSpaceDN w:val="0"/>
        <w:adjustRightInd w:val="0"/>
        <w:spacing w:line="460" w:lineRule="exact"/>
        <w:jc w:val="both"/>
        <w:rPr>
          <w:rFonts w:ascii="標楷體" w:eastAsia="標楷體" w:hAnsi="Calibri" w:cs="標楷體"/>
          <w:color w:val="000000"/>
          <w:kern w:val="0"/>
          <w:sz w:val="28"/>
          <w:szCs w:val="28"/>
        </w:rPr>
      </w:pPr>
      <w:r>
        <w:rPr>
          <w:rFonts w:ascii="標楷體" w:eastAsia="標楷體" w:hAnsi="標楷體" w:hint="eastAsia"/>
          <w:kern w:val="0"/>
          <w:sz w:val="28"/>
          <w:szCs w:val="28"/>
        </w:rPr>
        <w:t>諮詢審議或備查內部控制其他相關事項。</w:t>
      </w:r>
    </w:p>
    <w:p w:rsidR="00045962" w:rsidRPr="00F47ECA" w:rsidRDefault="00045962" w:rsidP="00F47ECA">
      <w:pPr>
        <w:numPr>
          <w:ilvl w:val="0"/>
          <w:numId w:val="1"/>
        </w:numPr>
        <w:autoSpaceDE w:val="0"/>
        <w:autoSpaceDN w:val="0"/>
        <w:adjustRightInd w:val="0"/>
        <w:spacing w:line="460" w:lineRule="exact"/>
        <w:ind w:left="567" w:hanging="567"/>
        <w:jc w:val="both"/>
        <w:rPr>
          <w:rFonts w:ascii="標楷體" w:eastAsia="標楷體" w:hAnsi="Calibri" w:cs="標楷體"/>
          <w:color w:val="000000"/>
          <w:kern w:val="0"/>
          <w:sz w:val="28"/>
          <w:szCs w:val="28"/>
        </w:rPr>
      </w:pPr>
      <w:r w:rsidRPr="00F47ECA">
        <w:rPr>
          <w:rFonts w:ascii="標楷體" w:eastAsia="標楷體" w:hAnsi="Calibri" w:cs="標楷體" w:hint="eastAsia"/>
          <w:color w:val="000000"/>
          <w:kern w:val="0"/>
          <w:sz w:val="28"/>
          <w:szCs w:val="28"/>
        </w:rPr>
        <w:t>本小組置召集人一人，由本府秘書長兼任之；副召集人一人，由本府主計處處長兼任之；置委員八人，除召集人及副召集人為當然委員外，其餘委員，由本府就下列人員派兼之：</w:t>
      </w:r>
    </w:p>
    <w:p w:rsidR="00045962" w:rsidRDefault="00045962" w:rsidP="001D33C6">
      <w:pPr>
        <w:numPr>
          <w:ilvl w:val="1"/>
          <w:numId w:val="1"/>
        </w:numPr>
        <w:tabs>
          <w:tab w:val="clear" w:pos="1200"/>
          <w:tab w:val="num" w:pos="1260"/>
        </w:tabs>
        <w:autoSpaceDE w:val="0"/>
        <w:autoSpaceDN w:val="0"/>
        <w:adjustRightInd w:val="0"/>
        <w:spacing w:line="460" w:lineRule="exact"/>
        <w:ind w:hanging="660"/>
        <w:jc w:val="both"/>
        <w:rPr>
          <w:rFonts w:ascii="標楷體" w:eastAsia="標楷體" w:hAnsi="Calibri" w:cs="標楷體"/>
          <w:color w:val="000000"/>
          <w:kern w:val="0"/>
          <w:sz w:val="28"/>
          <w:szCs w:val="28"/>
        </w:rPr>
      </w:pPr>
      <w:r w:rsidRPr="00F47ECA">
        <w:rPr>
          <w:rFonts w:ascii="標楷體" w:eastAsia="標楷體" w:hAnsi="Calibri" w:cs="標楷體" w:hint="eastAsia"/>
          <w:color w:val="000000"/>
          <w:kern w:val="0"/>
          <w:sz w:val="28"/>
          <w:szCs w:val="28"/>
        </w:rPr>
        <w:t>本府財政</w:t>
      </w:r>
      <w:r>
        <w:rPr>
          <w:rFonts w:ascii="標楷體" w:eastAsia="標楷體" w:hAnsi="Calibri" w:cs="標楷體" w:hint="eastAsia"/>
          <w:color w:val="000000"/>
          <w:kern w:val="0"/>
          <w:sz w:val="28"/>
          <w:szCs w:val="28"/>
        </w:rPr>
        <w:t>稅務</w:t>
      </w:r>
      <w:r w:rsidRPr="00F47ECA">
        <w:rPr>
          <w:rFonts w:ascii="標楷體" w:eastAsia="標楷體" w:hAnsi="Calibri" w:cs="標楷體" w:hint="eastAsia"/>
          <w:color w:val="000000"/>
          <w:kern w:val="0"/>
          <w:sz w:val="28"/>
          <w:szCs w:val="28"/>
        </w:rPr>
        <w:t>局局長。</w:t>
      </w:r>
    </w:p>
    <w:p w:rsidR="00045962" w:rsidRDefault="00045962" w:rsidP="001D33C6">
      <w:pPr>
        <w:numPr>
          <w:ilvl w:val="1"/>
          <w:numId w:val="1"/>
        </w:numPr>
        <w:tabs>
          <w:tab w:val="clear" w:pos="1200"/>
          <w:tab w:val="num" w:pos="1260"/>
        </w:tabs>
        <w:autoSpaceDE w:val="0"/>
        <w:autoSpaceDN w:val="0"/>
        <w:adjustRightInd w:val="0"/>
        <w:spacing w:line="460" w:lineRule="exact"/>
        <w:ind w:hanging="660"/>
        <w:jc w:val="both"/>
        <w:rPr>
          <w:rFonts w:ascii="標楷體" w:eastAsia="標楷體" w:hAnsi="Calibri" w:cs="標楷體"/>
          <w:color w:val="000000"/>
          <w:kern w:val="0"/>
          <w:sz w:val="28"/>
          <w:szCs w:val="28"/>
        </w:rPr>
      </w:pPr>
      <w:r w:rsidRPr="00F47ECA">
        <w:rPr>
          <w:rFonts w:ascii="標楷體" w:eastAsia="標楷體" w:hAnsi="Calibri" w:cs="標楷體" w:hint="eastAsia"/>
          <w:color w:val="000000"/>
          <w:kern w:val="0"/>
          <w:sz w:val="28"/>
          <w:szCs w:val="28"/>
        </w:rPr>
        <w:t>本府政風處處長。</w:t>
      </w:r>
    </w:p>
    <w:p w:rsidR="00045962" w:rsidRDefault="00045962" w:rsidP="001D33C6">
      <w:pPr>
        <w:numPr>
          <w:ilvl w:val="1"/>
          <w:numId w:val="1"/>
        </w:numPr>
        <w:tabs>
          <w:tab w:val="clear" w:pos="1200"/>
          <w:tab w:val="num" w:pos="1260"/>
        </w:tabs>
        <w:autoSpaceDE w:val="0"/>
        <w:autoSpaceDN w:val="0"/>
        <w:adjustRightInd w:val="0"/>
        <w:spacing w:line="460" w:lineRule="exact"/>
        <w:ind w:hanging="660"/>
        <w:jc w:val="both"/>
        <w:rPr>
          <w:rFonts w:ascii="標楷體" w:eastAsia="標楷體" w:hAnsi="Calibri" w:cs="標楷體"/>
          <w:color w:val="000000"/>
          <w:kern w:val="0"/>
          <w:sz w:val="28"/>
          <w:szCs w:val="28"/>
        </w:rPr>
      </w:pPr>
      <w:r w:rsidRPr="00F47ECA">
        <w:rPr>
          <w:rFonts w:ascii="標楷體" w:eastAsia="標楷體" w:hAnsi="Calibri" w:cs="標楷體" w:hint="eastAsia"/>
          <w:color w:val="000000"/>
          <w:kern w:val="0"/>
          <w:sz w:val="28"/>
          <w:szCs w:val="28"/>
        </w:rPr>
        <w:t>本府人事處處長。</w:t>
      </w:r>
    </w:p>
    <w:p w:rsidR="00045962" w:rsidRDefault="00045962" w:rsidP="001D33C6">
      <w:pPr>
        <w:numPr>
          <w:ilvl w:val="1"/>
          <w:numId w:val="1"/>
        </w:numPr>
        <w:tabs>
          <w:tab w:val="clear" w:pos="1200"/>
          <w:tab w:val="num" w:pos="1260"/>
        </w:tabs>
        <w:autoSpaceDE w:val="0"/>
        <w:autoSpaceDN w:val="0"/>
        <w:adjustRightInd w:val="0"/>
        <w:spacing w:line="460" w:lineRule="exact"/>
        <w:ind w:hanging="660"/>
        <w:jc w:val="both"/>
        <w:rPr>
          <w:rFonts w:ascii="標楷體" w:eastAsia="標楷體" w:hAnsi="Calibri" w:cs="標楷體"/>
          <w:color w:val="000000"/>
          <w:kern w:val="0"/>
          <w:sz w:val="28"/>
          <w:szCs w:val="28"/>
        </w:rPr>
      </w:pPr>
      <w:r w:rsidRPr="00F47ECA">
        <w:rPr>
          <w:rFonts w:ascii="標楷體" w:eastAsia="標楷體" w:hAnsi="Calibri" w:cs="標楷體" w:hint="eastAsia"/>
          <w:color w:val="000000"/>
          <w:kern w:val="0"/>
          <w:sz w:val="28"/>
          <w:szCs w:val="28"/>
        </w:rPr>
        <w:t>本府</w:t>
      </w:r>
      <w:r>
        <w:rPr>
          <w:rFonts w:ascii="標楷體" w:eastAsia="標楷體" w:hAnsi="Calibri" w:cs="標楷體" w:hint="eastAsia"/>
          <w:color w:val="000000"/>
          <w:kern w:val="0"/>
          <w:sz w:val="28"/>
          <w:szCs w:val="28"/>
        </w:rPr>
        <w:t>綜合規劃處處長</w:t>
      </w:r>
      <w:r w:rsidRPr="00F47ECA">
        <w:rPr>
          <w:rFonts w:ascii="標楷體" w:eastAsia="標楷體" w:hAnsi="Calibri" w:cs="標楷體" w:hint="eastAsia"/>
          <w:color w:val="000000"/>
          <w:kern w:val="0"/>
          <w:sz w:val="28"/>
          <w:szCs w:val="28"/>
        </w:rPr>
        <w:t>。</w:t>
      </w:r>
    </w:p>
    <w:p w:rsidR="00045962" w:rsidRDefault="00045962" w:rsidP="001D33C6">
      <w:pPr>
        <w:numPr>
          <w:ilvl w:val="1"/>
          <w:numId w:val="1"/>
        </w:numPr>
        <w:tabs>
          <w:tab w:val="clear" w:pos="1200"/>
          <w:tab w:val="num" w:pos="1260"/>
        </w:tabs>
        <w:autoSpaceDE w:val="0"/>
        <w:autoSpaceDN w:val="0"/>
        <w:adjustRightInd w:val="0"/>
        <w:spacing w:line="460" w:lineRule="exact"/>
        <w:ind w:hanging="660"/>
        <w:jc w:val="both"/>
        <w:rPr>
          <w:rFonts w:ascii="標楷體" w:eastAsia="標楷體" w:hAnsi="Calibri" w:cs="標楷體"/>
          <w:color w:val="000000"/>
          <w:kern w:val="0"/>
          <w:sz w:val="28"/>
          <w:szCs w:val="28"/>
        </w:rPr>
      </w:pPr>
      <w:r w:rsidRPr="00F47ECA">
        <w:rPr>
          <w:rFonts w:ascii="標楷體" w:eastAsia="標楷體" w:hAnsi="Calibri" w:cs="標楷體" w:hint="eastAsia"/>
          <w:color w:val="000000"/>
          <w:kern w:val="0"/>
          <w:sz w:val="28"/>
          <w:szCs w:val="28"/>
        </w:rPr>
        <w:t>本府</w:t>
      </w:r>
      <w:r>
        <w:rPr>
          <w:rFonts w:ascii="標楷體" w:eastAsia="標楷體" w:hAnsi="Calibri" w:cs="標楷體" w:hint="eastAsia"/>
          <w:color w:val="000000"/>
          <w:kern w:val="0"/>
          <w:sz w:val="28"/>
          <w:szCs w:val="28"/>
        </w:rPr>
        <w:t>建設</w:t>
      </w:r>
      <w:r w:rsidRPr="00F47ECA">
        <w:rPr>
          <w:rFonts w:ascii="標楷體" w:eastAsia="標楷體" w:hAnsi="Calibri" w:cs="標楷體" w:hint="eastAsia"/>
          <w:color w:val="000000"/>
          <w:kern w:val="0"/>
          <w:sz w:val="28"/>
          <w:szCs w:val="28"/>
        </w:rPr>
        <w:t>處處長。</w:t>
      </w:r>
    </w:p>
    <w:p w:rsidR="00045962" w:rsidRPr="00F47ECA" w:rsidRDefault="00045962" w:rsidP="001D33C6">
      <w:pPr>
        <w:numPr>
          <w:ilvl w:val="1"/>
          <w:numId w:val="1"/>
        </w:numPr>
        <w:tabs>
          <w:tab w:val="clear" w:pos="1200"/>
          <w:tab w:val="num" w:pos="1260"/>
        </w:tabs>
        <w:autoSpaceDE w:val="0"/>
        <w:autoSpaceDN w:val="0"/>
        <w:adjustRightInd w:val="0"/>
        <w:spacing w:line="460" w:lineRule="exact"/>
        <w:ind w:hanging="660"/>
        <w:jc w:val="both"/>
        <w:rPr>
          <w:rFonts w:ascii="標楷體" w:eastAsia="標楷體" w:hAnsi="Calibri" w:cs="標楷體"/>
          <w:color w:val="000000"/>
          <w:kern w:val="0"/>
          <w:sz w:val="28"/>
          <w:szCs w:val="28"/>
        </w:rPr>
      </w:pPr>
      <w:r w:rsidRPr="00F47ECA">
        <w:rPr>
          <w:rFonts w:ascii="標楷體" w:eastAsia="標楷體" w:hAnsi="Calibri" w:cs="標楷體" w:hint="eastAsia"/>
          <w:color w:val="000000"/>
          <w:kern w:val="0"/>
          <w:sz w:val="28"/>
          <w:szCs w:val="28"/>
        </w:rPr>
        <w:t>本府</w:t>
      </w:r>
      <w:r>
        <w:rPr>
          <w:rFonts w:ascii="標楷體" w:eastAsia="標楷體" w:hAnsi="Calibri" w:cs="標楷體" w:hint="eastAsia"/>
          <w:color w:val="000000"/>
          <w:kern w:val="0"/>
          <w:sz w:val="28"/>
          <w:szCs w:val="28"/>
        </w:rPr>
        <w:t>行政處處</w:t>
      </w:r>
      <w:r w:rsidRPr="00F47ECA">
        <w:rPr>
          <w:rFonts w:ascii="標楷體" w:eastAsia="標楷體" w:hAnsi="Calibri" w:cs="標楷體" w:hint="eastAsia"/>
          <w:color w:val="000000"/>
          <w:kern w:val="0"/>
          <w:sz w:val="28"/>
          <w:szCs w:val="28"/>
        </w:rPr>
        <w:t>長。</w:t>
      </w:r>
    </w:p>
    <w:p w:rsidR="00045962" w:rsidRPr="00F47ECA" w:rsidRDefault="00045962" w:rsidP="00F47ECA">
      <w:pPr>
        <w:numPr>
          <w:ilvl w:val="0"/>
          <w:numId w:val="1"/>
        </w:numPr>
        <w:autoSpaceDE w:val="0"/>
        <w:autoSpaceDN w:val="0"/>
        <w:adjustRightInd w:val="0"/>
        <w:spacing w:line="460" w:lineRule="exact"/>
        <w:ind w:left="567" w:hanging="567"/>
        <w:jc w:val="both"/>
        <w:rPr>
          <w:rFonts w:ascii="標楷體" w:eastAsia="標楷體" w:hAnsi="Calibri" w:cs="標楷體"/>
          <w:color w:val="000000"/>
          <w:kern w:val="0"/>
          <w:sz w:val="28"/>
          <w:szCs w:val="28"/>
        </w:rPr>
      </w:pPr>
      <w:r w:rsidRPr="00F47ECA">
        <w:rPr>
          <w:rFonts w:ascii="標楷體" w:eastAsia="標楷體" w:hAnsi="Calibri" w:cs="標楷體" w:hint="eastAsia"/>
          <w:color w:val="000000"/>
          <w:kern w:val="0"/>
          <w:sz w:val="28"/>
          <w:szCs w:val="28"/>
        </w:rPr>
        <w:t>本小組以每三個月召開一次會議為原則，必要時得召開臨時會議，均由召集人召集之；召集人因故不克出席時，由副召集人代理之，召集人、副召集人均不克出席時，由召集人指定委員一人</w:t>
      </w:r>
      <w:r w:rsidRPr="00F47ECA">
        <w:rPr>
          <w:rFonts w:ascii="標楷體" w:eastAsia="標楷體" w:hAnsi="Calibri" w:cs="標楷體" w:hint="eastAsia"/>
          <w:color w:val="000000"/>
          <w:kern w:val="0"/>
          <w:sz w:val="28"/>
          <w:szCs w:val="28"/>
        </w:rPr>
        <w:lastRenderedPageBreak/>
        <w:t>代理之；委員應親自出席會議，不克出席會議時，得指派代表一人出席。</w:t>
      </w:r>
    </w:p>
    <w:p w:rsidR="00045962" w:rsidRPr="00212C60" w:rsidRDefault="00045962" w:rsidP="00C36205">
      <w:pPr>
        <w:autoSpaceDE w:val="0"/>
        <w:autoSpaceDN w:val="0"/>
        <w:adjustRightInd w:val="0"/>
        <w:spacing w:line="460" w:lineRule="exact"/>
        <w:ind w:left="588"/>
        <w:jc w:val="both"/>
        <w:rPr>
          <w:rFonts w:ascii="標楷體" w:eastAsia="標楷體" w:hAnsi="標楷體" w:cs="標楷體"/>
          <w:color w:val="000000"/>
          <w:kern w:val="0"/>
          <w:sz w:val="28"/>
          <w:szCs w:val="28"/>
        </w:rPr>
      </w:pPr>
      <w:r w:rsidRPr="00212C60">
        <w:rPr>
          <w:rFonts w:ascii="標楷體" w:eastAsia="標楷體" w:hAnsi="標楷體" w:cs="標楷體" w:hint="eastAsia"/>
          <w:color w:val="000000"/>
          <w:kern w:val="0"/>
          <w:sz w:val="28"/>
          <w:szCs w:val="28"/>
        </w:rPr>
        <w:t>前項會議，得指定</w:t>
      </w:r>
      <w:r>
        <w:rPr>
          <w:rFonts w:ascii="標楷體" w:eastAsia="標楷體" w:hAnsi="標楷體" w:cs="標楷體" w:hint="eastAsia"/>
          <w:color w:val="000000"/>
          <w:kern w:val="0"/>
          <w:sz w:val="28"/>
          <w:szCs w:val="28"/>
        </w:rPr>
        <w:t>本府相關單位或所屬機關</w:t>
      </w:r>
      <w:r>
        <w:rPr>
          <w:rFonts w:ascii="標楷體" w:eastAsia="標楷體" w:hAnsi="標楷體" w:cs="標楷體"/>
          <w:color w:val="000000"/>
          <w:kern w:val="0"/>
          <w:sz w:val="28"/>
          <w:szCs w:val="28"/>
        </w:rPr>
        <w:t>(</w:t>
      </w:r>
      <w:r>
        <w:rPr>
          <w:rFonts w:ascii="標楷體" w:eastAsia="標楷體" w:hAnsi="標楷體" w:cs="標楷體" w:hint="eastAsia"/>
          <w:color w:val="000000"/>
          <w:kern w:val="0"/>
          <w:sz w:val="28"/>
          <w:szCs w:val="28"/>
        </w:rPr>
        <w:t>構</w:t>
      </w:r>
      <w:r>
        <w:rPr>
          <w:rFonts w:ascii="標楷體" w:eastAsia="標楷體" w:hAnsi="標楷體" w:cs="標楷體"/>
          <w:color w:val="000000"/>
          <w:kern w:val="0"/>
          <w:sz w:val="28"/>
          <w:szCs w:val="28"/>
        </w:rPr>
        <w:t>)</w:t>
      </w:r>
      <w:r>
        <w:rPr>
          <w:rFonts w:ascii="標楷體" w:eastAsia="標楷體" w:hAnsi="標楷體" w:cs="標楷體" w:hint="eastAsia"/>
          <w:color w:val="000000"/>
          <w:kern w:val="0"/>
          <w:sz w:val="28"/>
          <w:szCs w:val="28"/>
        </w:rPr>
        <w:t>、學校</w:t>
      </w:r>
      <w:r w:rsidRPr="00212C60">
        <w:rPr>
          <w:rFonts w:ascii="標楷體" w:eastAsia="標楷體" w:hAnsi="標楷體" w:cs="標楷體" w:hint="eastAsia"/>
          <w:color w:val="000000"/>
          <w:kern w:val="0"/>
          <w:sz w:val="28"/>
          <w:szCs w:val="28"/>
        </w:rPr>
        <w:t>提報內部控制及內部稽核作業落實執行情形。</w:t>
      </w:r>
    </w:p>
    <w:p w:rsidR="00045962" w:rsidRPr="00F47ECA" w:rsidRDefault="00045962" w:rsidP="00057AAD">
      <w:pPr>
        <w:autoSpaceDE w:val="0"/>
        <w:autoSpaceDN w:val="0"/>
        <w:adjustRightInd w:val="0"/>
        <w:spacing w:line="460" w:lineRule="exact"/>
        <w:jc w:val="both"/>
        <w:rPr>
          <w:rFonts w:ascii="標楷體" w:eastAsia="標楷體" w:hAnsi="Calibri" w:cs="標楷體"/>
          <w:color w:val="000000"/>
          <w:kern w:val="0"/>
          <w:sz w:val="28"/>
          <w:szCs w:val="28"/>
        </w:rPr>
      </w:pPr>
      <w:r>
        <w:rPr>
          <w:rFonts w:ascii="標楷體" w:eastAsia="標楷體" w:hAnsi="Calibri" w:cs="標楷體"/>
          <w:color w:val="000000"/>
          <w:kern w:val="0"/>
          <w:sz w:val="28"/>
          <w:szCs w:val="28"/>
        </w:rPr>
        <w:t xml:space="preserve">    </w:t>
      </w:r>
      <w:r w:rsidRPr="00F47ECA">
        <w:rPr>
          <w:rFonts w:ascii="標楷體" w:eastAsia="標楷體" w:hAnsi="Calibri" w:cs="標楷體" w:hint="eastAsia"/>
          <w:color w:val="000000"/>
          <w:kern w:val="0"/>
          <w:sz w:val="28"/>
          <w:szCs w:val="28"/>
        </w:rPr>
        <w:t>本小組得視議題需要，邀請相關機關或學者專家列席。</w:t>
      </w:r>
    </w:p>
    <w:p w:rsidR="00045962" w:rsidRDefault="00045962" w:rsidP="00F47ECA">
      <w:pPr>
        <w:numPr>
          <w:ilvl w:val="0"/>
          <w:numId w:val="1"/>
        </w:numPr>
        <w:autoSpaceDE w:val="0"/>
        <w:autoSpaceDN w:val="0"/>
        <w:adjustRightInd w:val="0"/>
        <w:spacing w:line="460" w:lineRule="exact"/>
        <w:ind w:left="567" w:hanging="567"/>
        <w:jc w:val="both"/>
        <w:rPr>
          <w:rFonts w:ascii="標楷體" w:eastAsia="標楷體" w:hAnsi="Calibri" w:cs="標楷體"/>
          <w:color w:val="000000"/>
          <w:kern w:val="0"/>
          <w:sz w:val="28"/>
          <w:szCs w:val="28"/>
        </w:rPr>
      </w:pPr>
      <w:r w:rsidRPr="00F47ECA">
        <w:rPr>
          <w:rFonts w:ascii="標楷體" w:eastAsia="標楷體" w:hAnsi="Calibri" w:cs="標楷體" w:hint="eastAsia"/>
          <w:color w:val="000000"/>
          <w:kern w:val="0"/>
          <w:sz w:val="28"/>
          <w:szCs w:val="28"/>
        </w:rPr>
        <w:t>本小組得視業務需要下設工作分組，並得適時邀集相關機關召開工作會議，研擬內部控制及內部稽核之規劃與推動作業。</w:t>
      </w:r>
    </w:p>
    <w:p w:rsidR="00045962" w:rsidRPr="00F47ECA" w:rsidRDefault="00045962" w:rsidP="00057AAD">
      <w:pPr>
        <w:autoSpaceDE w:val="0"/>
        <w:autoSpaceDN w:val="0"/>
        <w:adjustRightInd w:val="0"/>
        <w:spacing w:line="460" w:lineRule="exact"/>
        <w:jc w:val="both"/>
        <w:rPr>
          <w:rFonts w:ascii="標楷體" w:eastAsia="標楷體" w:hAnsi="Calibri" w:cs="標楷體"/>
          <w:color w:val="000000"/>
          <w:kern w:val="0"/>
          <w:sz w:val="28"/>
          <w:szCs w:val="28"/>
        </w:rPr>
      </w:pPr>
      <w:r>
        <w:rPr>
          <w:rFonts w:ascii="標楷體" w:eastAsia="標楷體" w:hAnsi="Calibri" w:cs="標楷體"/>
          <w:color w:val="000000"/>
          <w:kern w:val="0"/>
          <w:sz w:val="28"/>
          <w:szCs w:val="28"/>
        </w:rPr>
        <w:t xml:space="preserve">    </w:t>
      </w:r>
      <w:r w:rsidRPr="00F47ECA">
        <w:rPr>
          <w:rFonts w:ascii="標楷體" w:eastAsia="標楷體" w:hAnsi="Calibri" w:cs="標楷體" w:hint="eastAsia"/>
          <w:color w:val="000000"/>
          <w:kern w:val="0"/>
          <w:sz w:val="28"/>
          <w:szCs w:val="28"/>
        </w:rPr>
        <w:t>本小組幕僚作業由本府主計處辦理。</w:t>
      </w:r>
    </w:p>
    <w:p w:rsidR="00045962" w:rsidRPr="00F47ECA" w:rsidRDefault="00045962" w:rsidP="00F47ECA">
      <w:pPr>
        <w:numPr>
          <w:ilvl w:val="0"/>
          <w:numId w:val="1"/>
        </w:numPr>
        <w:autoSpaceDE w:val="0"/>
        <w:autoSpaceDN w:val="0"/>
        <w:adjustRightInd w:val="0"/>
        <w:spacing w:line="460" w:lineRule="exact"/>
        <w:ind w:left="567" w:hanging="567"/>
        <w:jc w:val="both"/>
        <w:rPr>
          <w:rFonts w:ascii="標楷體" w:eastAsia="標楷體" w:hAnsi="Calibri" w:cs="標楷體"/>
          <w:color w:val="000000"/>
          <w:kern w:val="0"/>
          <w:sz w:val="28"/>
          <w:szCs w:val="28"/>
        </w:rPr>
      </w:pPr>
      <w:r w:rsidRPr="00F47ECA">
        <w:rPr>
          <w:rFonts w:ascii="標楷體" w:eastAsia="標楷體" w:hAnsi="Calibri" w:cs="標楷體" w:hint="eastAsia"/>
          <w:color w:val="000000"/>
          <w:kern w:val="0"/>
          <w:sz w:val="28"/>
          <w:szCs w:val="28"/>
        </w:rPr>
        <w:t>本小組兼任人員均為無給職。</w:t>
      </w:r>
    </w:p>
    <w:p w:rsidR="00045962" w:rsidRPr="00F47ECA" w:rsidRDefault="00045962" w:rsidP="00F47ECA">
      <w:pPr>
        <w:numPr>
          <w:ilvl w:val="0"/>
          <w:numId w:val="1"/>
        </w:numPr>
        <w:autoSpaceDE w:val="0"/>
        <w:autoSpaceDN w:val="0"/>
        <w:adjustRightInd w:val="0"/>
        <w:spacing w:line="460" w:lineRule="exact"/>
        <w:ind w:left="567" w:hanging="567"/>
        <w:jc w:val="both"/>
        <w:rPr>
          <w:rFonts w:ascii="標楷體" w:eastAsia="標楷體" w:hAnsi="Calibri" w:cs="標楷體"/>
          <w:color w:val="000000"/>
          <w:kern w:val="0"/>
          <w:sz w:val="28"/>
          <w:szCs w:val="28"/>
        </w:rPr>
      </w:pPr>
      <w:r w:rsidRPr="00F47ECA">
        <w:rPr>
          <w:rFonts w:ascii="標楷體" w:eastAsia="標楷體" w:hAnsi="Calibri" w:cs="標楷體" w:hint="eastAsia"/>
          <w:color w:val="000000"/>
          <w:kern w:val="0"/>
          <w:sz w:val="28"/>
          <w:szCs w:val="28"/>
        </w:rPr>
        <w:t>本小組決議及交付執行事項，以本府名義行之。</w:t>
      </w:r>
    </w:p>
    <w:p w:rsidR="00045962" w:rsidRPr="00F47ECA" w:rsidRDefault="00045962" w:rsidP="00F47ECA">
      <w:pPr>
        <w:numPr>
          <w:ilvl w:val="0"/>
          <w:numId w:val="1"/>
        </w:numPr>
        <w:autoSpaceDE w:val="0"/>
        <w:autoSpaceDN w:val="0"/>
        <w:adjustRightInd w:val="0"/>
        <w:spacing w:line="460" w:lineRule="exact"/>
        <w:ind w:left="567" w:hanging="567"/>
        <w:jc w:val="both"/>
        <w:rPr>
          <w:rFonts w:ascii="標楷體" w:eastAsia="標楷體" w:hAnsi="Calibri" w:cs="標楷體"/>
          <w:color w:val="000000"/>
          <w:kern w:val="0"/>
        </w:rPr>
      </w:pPr>
      <w:r w:rsidRPr="00F47ECA">
        <w:rPr>
          <w:rFonts w:ascii="標楷體" w:eastAsia="標楷體" w:hAnsi="Calibri" w:cs="標楷體" w:hint="eastAsia"/>
          <w:color w:val="000000"/>
          <w:kern w:val="0"/>
          <w:sz w:val="28"/>
          <w:szCs w:val="28"/>
        </w:rPr>
        <w:t>本小組所需經費，由本府主計處預算項下支應。</w:t>
      </w:r>
    </w:p>
    <w:p w:rsidR="00045962" w:rsidRPr="00F47ECA" w:rsidRDefault="00045962" w:rsidP="00FB031C">
      <w:pPr>
        <w:spacing w:line="240" w:lineRule="exact"/>
      </w:pPr>
    </w:p>
    <w:sectPr w:rsidR="00045962" w:rsidRPr="00F47ECA" w:rsidSect="00FB031C">
      <w:pgSz w:w="11906" w:h="16838"/>
      <w:pgMar w:top="1418" w:right="1797" w:bottom="1418"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962" w:rsidRDefault="00045962" w:rsidP="00FB031C">
      <w:r>
        <w:separator/>
      </w:r>
    </w:p>
  </w:endnote>
  <w:endnote w:type="continuationSeparator" w:id="1">
    <w:p w:rsidR="00045962" w:rsidRDefault="00045962" w:rsidP="00FB03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962" w:rsidRDefault="00045962" w:rsidP="00FB031C">
      <w:r>
        <w:separator/>
      </w:r>
    </w:p>
  </w:footnote>
  <w:footnote w:type="continuationSeparator" w:id="1">
    <w:p w:rsidR="00045962" w:rsidRDefault="00045962" w:rsidP="00FB03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444E5"/>
    <w:multiLevelType w:val="hybridMultilevel"/>
    <w:tmpl w:val="B9E04F76"/>
    <w:lvl w:ilvl="0" w:tplc="7BBC60B6">
      <w:start w:val="1"/>
      <w:numFmt w:val="taiwaneseCountingThousand"/>
      <w:lvlText w:val="(%1)"/>
      <w:lvlJc w:val="left"/>
      <w:pPr>
        <w:tabs>
          <w:tab w:val="num" w:pos="1280"/>
        </w:tabs>
        <w:ind w:left="1280" w:hanging="720"/>
      </w:pPr>
      <w:rPr>
        <w:rFonts w:cs="Times New Roman" w:hint="default"/>
      </w:rPr>
    </w:lvl>
    <w:lvl w:ilvl="1" w:tplc="04090019" w:tentative="1">
      <w:start w:val="1"/>
      <w:numFmt w:val="ideographTraditional"/>
      <w:lvlText w:val="%2、"/>
      <w:lvlJc w:val="left"/>
      <w:pPr>
        <w:tabs>
          <w:tab w:val="num" w:pos="1520"/>
        </w:tabs>
        <w:ind w:left="1520" w:hanging="480"/>
      </w:pPr>
      <w:rPr>
        <w:rFonts w:cs="Times New Roman"/>
      </w:rPr>
    </w:lvl>
    <w:lvl w:ilvl="2" w:tplc="0409001B" w:tentative="1">
      <w:start w:val="1"/>
      <w:numFmt w:val="lowerRoman"/>
      <w:lvlText w:val="%3."/>
      <w:lvlJc w:val="right"/>
      <w:pPr>
        <w:tabs>
          <w:tab w:val="num" w:pos="2000"/>
        </w:tabs>
        <w:ind w:left="2000" w:hanging="480"/>
      </w:pPr>
      <w:rPr>
        <w:rFonts w:cs="Times New Roman"/>
      </w:rPr>
    </w:lvl>
    <w:lvl w:ilvl="3" w:tplc="0409000F" w:tentative="1">
      <w:start w:val="1"/>
      <w:numFmt w:val="decimal"/>
      <w:lvlText w:val="%4."/>
      <w:lvlJc w:val="left"/>
      <w:pPr>
        <w:tabs>
          <w:tab w:val="num" w:pos="2480"/>
        </w:tabs>
        <w:ind w:left="2480" w:hanging="480"/>
      </w:pPr>
      <w:rPr>
        <w:rFonts w:cs="Times New Roman"/>
      </w:rPr>
    </w:lvl>
    <w:lvl w:ilvl="4" w:tplc="04090019" w:tentative="1">
      <w:start w:val="1"/>
      <w:numFmt w:val="ideographTraditional"/>
      <w:lvlText w:val="%5、"/>
      <w:lvlJc w:val="left"/>
      <w:pPr>
        <w:tabs>
          <w:tab w:val="num" w:pos="2960"/>
        </w:tabs>
        <w:ind w:left="2960" w:hanging="480"/>
      </w:pPr>
      <w:rPr>
        <w:rFonts w:cs="Times New Roman"/>
      </w:rPr>
    </w:lvl>
    <w:lvl w:ilvl="5" w:tplc="0409001B" w:tentative="1">
      <w:start w:val="1"/>
      <w:numFmt w:val="lowerRoman"/>
      <w:lvlText w:val="%6."/>
      <w:lvlJc w:val="right"/>
      <w:pPr>
        <w:tabs>
          <w:tab w:val="num" w:pos="3440"/>
        </w:tabs>
        <w:ind w:left="3440" w:hanging="480"/>
      </w:pPr>
      <w:rPr>
        <w:rFonts w:cs="Times New Roman"/>
      </w:rPr>
    </w:lvl>
    <w:lvl w:ilvl="6" w:tplc="0409000F" w:tentative="1">
      <w:start w:val="1"/>
      <w:numFmt w:val="decimal"/>
      <w:lvlText w:val="%7."/>
      <w:lvlJc w:val="left"/>
      <w:pPr>
        <w:tabs>
          <w:tab w:val="num" w:pos="3920"/>
        </w:tabs>
        <w:ind w:left="3920" w:hanging="480"/>
      </w:pPr>
      <w:rPr>
        <w:rFonts w:cs="Times New Roman"/>
      </w:rPr>
    </w:lvl>
    <w:lvl w:ilvl="7" w:tplc="04090019" w:tentative="1">
      <w:start w:val="1"/>
      <w:numFmt w:val="ideographTraditional"/>
      <w:lvlText w:val="%8、"/>
      <w:lvlJc w:val="left"/>
      <w:pPr>
        <w:tabs>
          <w:tab w:val="num" w:pos="4400"/>
        </w:tabs>
        <w:ind w:left="4400" w:hanging="480"/>
      </w:pPr>
      <w:rPr>
        <w:rFonts w:cs="Times New Roman"/>
      </w:rPr>
    </w:lvl>
    <w:lvl w:ilvl="8" w:tplc="0409001B" w:tentative="1">
      <w:start w:val="1"/>
      <w:numFmt w:val="lowerRoman"/>
      <w:lvlText w:val="%9."/>
      <w:lvlJc w:val="right"/>
      <w:pPr>
        <w:tabs>
          <w:tab w:val="num" w:pos="4880"/>
        </w:tabs>
        <w:ind w:left="4880" w:hanging="480"/>
      </w:pPr>
      <w:rPr>
        <w:rFonts w:cs="Times New Roman"/>
      </w:rPr>
    </w:lvl>
  </w:abstractNum>
  <w:abstractNum w:abstractNumId="1">
    <w:nsid w:val="7E3B02F7"/>
    <w:multiLevelType w:val="hybridMultilevel"/>
    <w:tmpl w:val="4ED47370"/>
    <w:lvl w:ilvl="0" w:tplc="102CA638">
      <w:start w:val="1"/>
      <w:numFmt w:val="taiwaneseCountingThousand"/>
      <w:lvlText w:val="%1、"/>
      <w:lvlJc w:val="left"/>
      <w:pPr>
        <w:ind w:left="720" w:hanging="720"/>
      </w:pPr>
      <w:rPr>
        <w:rFonts w:cs="Times New Roman" w:hint="default"/>
        <w:sz w:val="28"/>
        <w:szCs w:val="28"/>
      </w:rPr>
    </w:lvl>
    <w:lvl w:ilvl="1" w:tplc="0EB0B22E">
      <w:start w:val="1"/>
      <w:numFmt w:val="taiwaneseCountingThousand"/>
      <w:lvlText w:val="(%2)"/>
      <w:lvlJc w:val="left"/>
      <w:pPr>
        <w:tabs>
          <w:tab w:val="num" w:pos="1200"/>
        </w:tabs>
        <w:ind w:left="1200" w:hanging="720"/>
      </w:pPr>
      <w:rPr>
        <w:rFonts w:cs="Times New Roman" w:hint="default"/>
        <w:sz w:val="28"/>
        <w:szCs w:val="28"/>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1CCB"/>
    <w:rsid w:val="00016038"/>
    <w:rsid w:val="00045962"/>
    <w:rsid w:val="0005794F"/>
    <w:rsid w:val="00057AAD"/>
    <w:rsid w:val="000740CE"/>
    <w:rsid w:val="000B7602"/>
    <w:rsid w:val="000C60A6"/>
    <w:rsid w:val="00142BDD"/>
    <w:rsid w:val="00177F03"/>
    <w:rsid w:val="001815C0"/>
    <w:rsid w:val="00195584"/>
    <w:rsid w:val="001B6943"/>
    <w:rsid w:val="001C7F2A"/>
    <w:rsid w:val="001D33C6"/>
    <w:rsid w:val="00201419"/>
    <w:rsid w:val="00212C60"/>
    <w:rsid w:val="00262F3F"/>
    <w:rsid w:val="00275411"/>
    <w:rsid w:val="0028590E"/>
    <w:rsid w:val="002B7861"/>
    <w:rsid w:val="003804B9"/>
    <w:rsid w:val="003C7D97"/>
    <w:rsid w:val="003F6D02"/>
    <w:rsid w:val="003F79C4"/>
    <w:rsid w:val="004D0616"/>
    <w:rsid w:val="00543127"/>
    <w:rsid w:val="00551543"/>
    <w:rsid w:val="00567B47"/>
    <w:rsid w:val="00590B09"/>
    <w:rsid w:val="005942B7"/>
    <w:rsid w:val="005B03B0"/>
    <w:rsid w:val="005D4943"/>
    <w:rsid w:val="005F2582"/>
    <w:rsid w:val="00651A2D"/>
    <w:rsid w:val="00654914"/>
    <w:rsid w:val="006765DC"/>
    <w:rsid w:val="006853F1"/>
    <w:rsid w:val="006B1D1D"/>
    <w:rsid w:val="006B32C1"/>
    <w:rsid w:val="006D1826"/>
    <w:rsid w:val="00847DD4"/>
    <w:rsid w:val="008657E0"/>
    <w:rsid w:val="008D65EC"/>
    <w:rsid w:val="008E1CCB"/>
    <w:rsid w:val="009119ED"/>
    <w:rsid w:val="00945894"/>
    <w:rsid w:val="00957239"/>
    <w:rsid w:val="009C5C95"/>
    <w:rsid w:val="00A034FC"/>
    <w:rsid w:val="00AF3E19"/>
    <w:rsid w:val="00B34BB6"/>
    <w:rsid w:val="00B37929"/>
    <w:rsid w:val="00BC2C4C"/>
    <w:rsid w:val="00BD1E30"/>
    <w:rsid w:val="00BD6C45"/>
    <w:rsid w:val="00BF207B"/>
    <w:rsid w:val="00C0737D"/>
    <w:rsid w:val="00C36205"/>
    <w:rsid w:val="00C648BC"/>
    <w:rsid w:val="00CB2FDD"/>
    <w:rsid w:val="00CF01A5"/>
    <w:rsid w:val="00D44103"/>
    <w:rsid w:val="00D67180"/>
    <w:rsid w:val="00E205A4"/>
    <w:rsid w:val="00E90143"/>
    <w:rsid w:val="00EA3889"/>
    <w:rsid w:val="00EE0903"/>
    <w:rsid w:val="00F47ECA"/>
    <w:rsid w:val="00F55204"/>
    <w:rsid w:val="00F64055"/>
    <w:rsid w:val="00FA0ABC"/>
    <w:rsid w:val="00FA75D4"/>
    <w:rsid w:val="00FB031C"/>
    <w:rsid w:val="00FC55F2"/>
    <w:rsid w:val="00FD1F34"/>
    <w:rsid w:val="00FD2533"/>
    <w:rsid w:val="00FE10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31C"/>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031C"/>
    <w:pPr>
      <w:tabs>
        <w:tab w:val="center" w:pos="4153"/>
        <w:tab w:val="right" w:pos="8306"/>
      </w:tabs>
      <w:snapToGrid w:val="0"/>
    </w:pPr>
    <w:rPr>
      <w:rFonts w:ascii="Calibri" w:hAnsi="Calibri"/>
      <w:sz w:val="20"/>
      <w:szCs w:val="20"/>
    </w:rPr>
  </w:style>
  <w:style w:type="character" w:customStyle="1" w:styleId="a4">
    <w:name w:val="頁首 字元"/>
    <w:basedOn w:val="a0"/>
    <w:link w:val="a3"/>
    <w:uiPriority w:val="99"/>
    <w:locked/>
    <w:rsid w:val="00FB031C"/>
    <w:rPr>
      <w:rFonts w:cs="Times New Roman"/>
      <w:sz w:val="20"/>
      <w:szCs w:val="20"/>
    </w:rPr>
  </w:style>
  <w:style w:type="paragraph" w:styleId="a5">
    <w:name w:val="footer"/>
    <w:basedOn w:val="a"/>
    <w:link w:val="a6"/>
    <w:uiPriority w:val="99"/>
    <w:rsid w:val="00FB031C"/>
    <w:pPr>
      <w:tabs>
        <w:tab w:val="center" w:pos="4153"/>
        <w:tab w:val="right" w:pos="8306"/>
      </w:tabs>
      <w:snapToGrid w:val="0"/>
    </w:pPr>
    <w:rPr>
      <w:rFonts w:ascii="Calibri" w:hAnsi="Calibri"/>
      <w:sz w:val="20"/>
      <w:szCs w:val="20"/>
    </w:rPr>
  </w:style>
  <w:style w:type="character" w:customStyle="1" w:styleId="a6">
    <w:name w:val="頁尾 字元"/>
    <w:basedOn w:val="a0"/>
    <w:link w:val="a5"/>
    <w:uiPriority w:val="99"/>
    <w:locked/>
    <w:rsid w:val="00FB031C"/>
    <w:rPr>
      <w:rFonts w:cs="Times New Roman"/>
      <w:sz w:val="20"/>
      <w:szCs w:val="20"/>
    </w:rPr>
  </w:style>
  <w:style w:type="paragraph" w:styleId="Web">
    <w:name w:val="Normal (Web)"/>
    <w:basedOn w:val="a"/>
    <w:uiPriority w:val="99"/>
    <w:semiHidden/>
    <w:rsid w:val="00FB031C"/>
    <w:pPr>
      <w:widowControl/>
      <w:spacing w:before="100" w:beforeAutospacing="1" w:after="100" w:afterAutospacing="1"/>
    </w:pPr>
    <w:rPr>
      <w:rFonts w:ascii="新細明體" w:hAnsi="新細明體" w:cs="新細明體"/>
      <w:color w:val="666666"/>
      <w:kern w:val="0"/>
    </w:rPr>
  </w:style>
  <w:style w:type="paragraph" w:styleId="a7">
    <w:name w:val="Balloon Text"/>
    <w:basedOn w:val="a"/>
    <w:link w:val="a8"/>
    <w:uiPriority w:val="99"/>
    <w:semiHidden/>
    <w:rsid w:val="00E90143"/>
    <w:rPr>
      <w:rFonts w:ascii="Arial" w:hAnsi="Arial"/>
      <w:sz w:val="18"/>
      <w:szCs w:val="18"/>
    </w:rPr>
  </w:style>
  <w:style w:type="character" w:customStyle="1" w:styleId="a8">
    <w:name w:val="註解方塊文字 字元"/>
    <w:basedOn w:val="a0"/>
    <w:link w:val="a7"/>
    <w:uiPriority w:val="99"/>
    <w:semiHidden/>
    <w:locked/>
    <w:rsid w:val="00551543"/>
    <w:rPr>
      <w:rFonts w:ascii="Cambria" w:eastAsia="新細明體" w:hAnsi="Cambria"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704</Characters>
  <Application>Microsoft Office Word</Application>
  <DocSecurity>4</DocSecurity>
  <Lines>5</Lines>
  <Paragraphs>1</Paragraphs>
  <ScaleCrop>false</ScaleCrop>
  <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臺中市政府內部控制推動及督導小組設置要點部分規定修正總說明</dc:title>
  <dc:creator>acer</dc:creator>
  <cp:lastModifiedBy>ChpsAccount</cp:lastModifiedBy>
  <cp:revision>2</cp:revision>
  <cp:lastPrinted>2015-02-09T07:16:00Z</cp:lastPrinted>
  <dcterms:created xsi:type="dcterms:W3CDTF">2015-03-24T02:06:00Z</dcterms:created>
  <dcterms:modified xsi:type="dcterms:W3CDTF">2015-03-24T02:06:00Z</dcterms:modified>
</cp:coreProperties>
</file>